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9E67" w14:textId="74260C2A" w:rsidR="009D4CC9" w:rsidRPr="00BF6E7B" w:rsidRDefault="009D4CC9" w:rsidP="009D4CC9">
      <w:pPr>
        <w:jc w:val="both"/>
        <w:rPr>
          <w:rFonts w:ascii="Calibri" w:eastAsia="Calibri" w:hAnsi="Calibri" w:cs="Calibri"/>
          <w:b/>
          <w:bCs/>
          <w:color w:val="212529"/>
          <w:sz w:val="28"/>
          <w:szCs w:val="28"/>
        </w:rPr>
      </w:pPr>
      <w:r w:rsidRPr="419AF70D">
        <w:rPr>
          <w:b/>
          <w:bCs/>
          <w:sz w:val="28"/>
          <w:szCs w:val="28"/>
        </w:rPr>
        <w:t xml:space="preserve">Fees Policy and Charging. </w:t>
      </w:r>
      <w:r w:rsidRPr="419AF70D">
        <w:rPr>
          <w:rFonts w:ascii="Calibri" w:eastAsia="Calibri" w:hAnsi="Calibri" w:cs="Calibri"/>
          <w:b/>
          <w:bCs/>
          <w:color w:val="212529"/>
          <w:sz w:val="28"/>
          <w:szCs w:val="28"/>
        </w:rPr>
        <w:t>Leeds Adult Learning Learner Fees Policy 202</w:t>
      </w:r>
      <w:r>
        <w:rPr>
          <w:rFonts w:ascii="Calibri" w:eastAsia="Calibri" w:hAnsi="Calibri" w:cs="Calibri"/>
          <w:b/>
          <w:bCs/>
          <w:color w:val="212529"/>
          <w:sz w:val="28"/>
          <w:szCs w:val="28"/>
        </w:rPr>
        <w:t>4</w:t>
      </w:r>
      <w:r w:rsidRPr="419AF70D">
        <w:rPr>
          <w:rFonts w:ascii="Calibri" w:eastAsia="Calibri" w:hAnsi="Calibri" w:cs="Calibri"/>
          <w:b/>
          <w:bCs/>
          <w:color w:val="212529"/>
          <w:sz w:val="28"/>
          <w:szCs w:val="28"/>
        </w:rPr>
        <w:t>-202</w:t>
      </w:r>
      <w:r>
        <w:rPr>
          <w:rFonts w:ascii="Calibri" w:eastAsia="Calibri" w:hAnsi="Calibri" w:cs="Calibri"/>
          <w:b/>
          <w:bCs/>
          <w:color w:val="212529"/>
          <w:sz w:val="28"/>
          <w:szCs w:val="28"/>
        </w:rPr>
        <w:t>5</w:t>
      </w:r>
    </w:p>
    <w:p w14:paraId="6743824C" w14:textId="77777777" w:rsidR="009D4CC9" w:rsidRDefault="009D4CC9" w:rsidP="009D4CC9">
      <w:pPr>
        <w:jc w:val="both"/>
        <w:rPr>
          <w:rFonts w:ascii="Calibri" w:eastAsia="Calibri" w:hAnsi="Calibri" w:cs="Calibri"/>
        </w:rPr>
      </w:pPr>
      <w:r w:rsidRPr="52E8BBB1">
        <w:rPr>
          <w:rFonts w:ascii="Calibri" w:eastAsia="Calibri" w:hAnsi="Calibri" w:cs="Calibri"/>
        </w:rPr>
        <w:t>The guiding principle of Tailored Learning</w:t>
      </w:r>
      <w:r>
        <w:rPr>
          <w:rFonts w:ascii="Calibri" w:eastAsia="Calibri" w:hAnsi="Calibri" w:cs="Calibri"/>
        </w:rPr>
        <w:t xml:space="preserve">, and the funding we receive states that </w:t>
      </w:r>
      <w:r w:rsidRPr="00257C35">
        <w:rPr>
          <w:rFonts w:ascii="Calibri" w:eastAsia="Calibri" w:hAnsi="Calibri" w:cs="Calibri"/>
          <w:b/>
          <w:bCs/>
        </w:rPr>
        <w:t>learners who can afford to pay for their courses should do so</w:t>
      </w:r>
      <w:r>
        <w:rPr>
          <w:rFonts w:ascii="Calibri" w:eastAsia="Calibri" w:hAnsi="Calibri" w:cs="Calibri"/>
        </w:rPr>
        <w:t xml:space="preserve">. </w:t>
      </w:r>
    </w:p>
    <w:p w14:paraId="23EA963F" w14:textId="77777777" w:rsidR="009D4CC9" w:rsidRDefault="009D4CC9" w:rsidP="009D4CC9">
      <w:pPr>
        <w:jc w:val="both"/>
      </w:pPr>
      <w:r w:rsidRPr="52E8BBB1">
        <w:rPr>
          <w:rFonts w:ascii="Calibri" w:eastAsia="Calibri" w:hAnsi="Calibri" w:cs="Calibri"/>
        </w:rPr>
        <w:t>Adult Learners 19 years or older on 31 August 202</w:t>
      </w:r>
      <w:r>
        <w:rPr>
          <w:rFonts w:ascii="Calibri" w:eastAsia="Calibri" w:hAnsi="Calibri" w:cs="Calibri"/>
        </w:rPr>
        <w:t xml:space="preserve">4 (24+ LDD) </w:t>
      </w:r>
      <w:r w:rsidRPr="52E8BBB1">
        <w:rPr>
          <w:rFonts w:ascii="Calibri" w:eastAsia="Calibri" w:hAnsi="Calibri" w:cs="Calibri"/>
        </w:rPr>
        <w:t>are eligible to pay a fee unless covered by the fee remission or fee reduction detailed in this policy</w:t>
      </w:r>
      <w:r>
        <w:rPr>
          <w:rFonts w:ascii="Calibri" w:eastAsia="Calibri" w:hAnsi="Calibri" w:cs="Calibri"/>
        </w:rPr>
        <w:t>.</w:t>
      </w:r>
    </w:p>
    <w:p w14:paraId="7992B34B" w14:textId="77777777" w:rsidR="009D4CC9" w:rsidRDefault="009D4CC9" w:rsidP="009D4CC9">
      <w:pPr>
        <w:jc w:val="both"/>
        <w:rPr>
          <w:rFonts w:ascii="Calibri" w:eastAsia="Calibri" w:hAnsi="Calibri" w:cs="Calibri"/>
          <w:color w:val="212529"/>
        </w:rPr>
      </w:pPr>
      <w:r w:rsidRPr="172BB501">
        <w:rPr>
          <w:rFonts w:ascii="Calibri" w:eastAsia="Calibri" w:hAnsi="Calibri" w:cs="Calibri"/>
          <w:color w:val="212529"/>
        </w:rPr>
        <w:t>All Adult Learning subcontract partners must adhere to the Learner Fees Policy.  Fees follow the following guidance</w:t>
      </w:r>
      <w:r>
        <w:rPr>
          <w:rFonts w:ascii="Calibri" w:eastAsia="Calibri" w:hAnsi="Calibri" w:cs="Calibri"/>
          <w:color w:val="212529"/>
        </w:rPr>
        <w:t>:</w:t>
      </w:r>
    </w:p>
    <w:p w14:paraId="0BF53E3C" w14:textId="77777777" w:rsidR="009D4CC9" w:rsidRDefault="009D4CC9" w:rsidP="009D4CC9">
      <w:pPr>
        <w:pStyle w:val="ListParagraph"/>
        <w:numPr>
          <w:ilvl w:val="0"/>
          <w:numId w:val="1"/>
        </w:numPr>
        <w:jc w:val="both"/>
        <w:rPr>
          <w:rFonts w:ascii="Calibri" w:eastAsia="Calibri" w:hAnsi="Calibri" w:cs="Calibri"/>
          <w:color w:val="212529"/>
        </w:rPr>
      </w:pPr>
      <w:r w:rsidRPr="1ED2278F">
        <w:rPr>
          <w:rFonts w:ascii="Calibri" w:eastAsia="Calibri" w:hAnsi="Calibri" w:cs="Calibri"/>
          <w:color w:val="212529"/>
        </w:rPr>
        <w:t>Fee Exempt (Fully Funded)</w:t>
      </w:r>
      <w:r>
        <w:rPr>
          <w:rFonts w:ascii="Calibri" w:eastAsia="Calibri" w:hAnsi="Calibri" w:cs="Calibri"/>
          <w:color w:val="212529"/>
        </w:rPr>
        <w:t>.</w:t>
      </w:r>
    </w:p>
    <w:p w14:paraId="5A612C2F" w14:textId="77777777" w:rsidR="009D4CC9" w:rsidRDefault="009D4CC9" w:rsidP="009D4CC9">
      <w:pPr>
        <w:pStyle w:val="ListParagraph"/>
        <w:numPr>
          <w:ilvl w:val="0"/>
          <w:numId w:val="1"/>
        </w:numPr>
        <w:jc w:val="both"/>
        <w:rPr>
          <w:rFonts w:ascii="Calibri" w:eastAsia="Calibri" w:hAnsi="Calibri" w:cs="Calibri"/>
          <w:color w:val="212529"/>
        </w:rPr>
      </w:pPr>
      <w:r w:rsidRPr="1ED2278F">
        <w:rPr>
          <w:rFonts w:ascii="Calibri" w:eastAsia="Calibri" w:hAnsi="Calibri" w:cs="Calibri"/>
          <w:color w:val="212529"/>
        </w:rPr>
        <w:t>Full Fee (Contribution)</w:t>
      </w:r>
      <w:r>
        <w:rPr>
          <w:rFonts w:ascii="Calibri" w:eastAsia="Calibri" w:hAnsi="Calibri" w:cs="Calibri"/>
          <w:color w:val="212529"/>
        </w:rPr>
        <w:t>.</w:t>
      </w:r>
    </w:p>
    <w:p w14:paraId="5CE8DD3E" w14:textId="77777777" w:rsidR="009D4CC9" w:rsidRDefault="009D4CC9" w:rsidP="009D4CC9">
      <w:pPr>
        <w:pStyle w:val="ListParagraph"/>
        <w:numPr>
          <w:ilvl w:val="0"/>
          <w:numId w:val="1"/>
        </w:numPr>
        <w:jc w:val="both"/>
        <w:rPr>
          <w:rFonts w:ascii="Calibri" w:eastAsia="Calibri" w:hAnsi="Calibri" w:cs="Calibri"/>
          <w:color w:val="212529"/>
        </w:rPr>
      </w:pPr>
      <w:r w:rsidRPr="1ED2278F">
        <w:rPr>
          <w:rFonts w:ascii="Calibri" w:eastAsia="Calibri" w:hAnsi="Calibri" w:cs="Calibri"/>
          <w:color w:val="212529"/>
        </w:rPr>
        <w:t>Reduced Fee (Contribution)</w:t>
      </w:r>
      <w:r>
        <w:rPr>
          <w:rFonts w:ascii="Calibri" w:eastAsia="Calibri" w:hAnsi="Calibri" w:cs="Calibri"/>
          <w:color w:val="212529"/>
        </w:rPr>
        <w:t>.</w:t>
      </w:r>
    </w:p>
    <w:p w14:paraId="6C7C6904" w14:textId="77777777" w:rsidR="009D4CC9" w:rsidRDefault="009D4CC9" w:rsidP="009D4CC9">
      <w:pPr>
        <w:pStyle w:val="ListParagraph"/>
        <w:numPr>
          <w:ilvl w:val="0"/>
          <w:numId w:val="1"/>
        </w:numPr>
        <w:jc w:val="both"/>
        <w:rPr>
          <w:rFonts w:ascii="Calibri" w:eastAsia="Calibri" w:hAnsi="Calibri" w:cs="Calibri"/>
          <w:color w:val="212529"/>
        </w:rPr>
      </w:pPr>
      <w:r w:rsidRPr="419AF70D">
        <w:rPr>
          <w:rFonts w:ascii="Calibri" w:eastAsia="Calibri" w:hAnsi="Calibri" w:cs="Calibri"/>
          <w:color w:val="212529"/>
        </w:rPr>
        <w:t>Full Cost Courses</w:t>
      </w:r>
      <w:r>
        <w:rPr>
          <w:rFonts w:ascii="Calibri" w:eastAsia="Calibri" w:hAnsi="Calibri" w:cs="Calibri"/>
          <w:color w:val="212529"/>
        </w:rPr>
        <w:t>.</w:t>
      </w:r>
    </w:p>
    <w:p w14:paraId="7BD5A1F4" w14:textId="77777777" w:rsidR="009D4CC9" w:rsidRDefault="009D4CC9" w:rsidP="009D4CC9">
      <w:pPr>
        <w:pStyle w:val="ListParagraph"/>
        <w:numPr>
          <w:ilvl w:val="0"/>
          <w:numId w:val="1"/>
        </w:numPr>
        <w:jc w:val="both"/>
        <w:rPr>
          <w:rFonts w:ascii="Calibri" w:eastAsia="Calibri" w:hAnsi="Calibri" w:cs="Calibri"/>
          <w:color w:val="212529"/>
        </w:rPr>
      </w:pPr>
      <w:r w:rsidRPr="1ED2278F">
        <w:rPr>
          <w:rFonts w:ascii="Calibri" w:eastAsia="Calibri" w:hAnsi="Calibri" w:cs="Calibri"/>
          <w:color w:val="212529"/>
        </w:rPr>
        <w:t>Charges for Resources</w:t>
      </w:r>
      <w:r>
        <w:rPr>
          <w:rFonts w:ascii="Calibri" w:eastAsia="Calibri" w:hAnsi="Calibri" w:cs="Calibri"/>
          <w:color w:val="212529"/>
        </w:rPr>
        <w:t>.</w:t>
      </w:r>
    </w:p>
    <w:p w14:paraId="4DB3163C" w14:textId="77777777" w:rsidR="009D4CC9" w:rsidRDefault="009D4CC9" w:rsidP="009D4CC9">
      <w:pPr>
        <w:jc w:val="both"/>
        <w:rPr>
          <w:rFonts w:ascii="Calibri" w:eastAsia="Calibri" w:hAnsi="Calibri" w:cs="Calibri"/>
          <w:b/>
          <w:bCs/>
          <w:color w:val="212529"/>
        </w:rPr>
      </w:pPr>
      <w:r w:rsidRPr="1ED2278F">
        <w:rPr>
          <w:rFonts w:ascii="Calibri" w:eastAsia="Calibri" w:hAnsi="Calibri" w:cs="Calibri"/>
          <w:b/>
          <w:bCs/>
          <w:color w:val="212529"/>
        </w:rPr>
        <w:t>Fee Exempt (Fully Funded)</w:t>
      </w:r>
    </w:p>
    <w:p w14:paraId="6A68DABB"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No charge</w:t>
      </w:r>
      <w:r>
        <w:rPr>
          <w:rFonts w:ascii="Calibri" w:eastAsia="Calibri" w:hAnsi="Calibri" w:cs="Calibri"/>
          <w:color w:val="212529"/>
        </w:rPr>
        <w:t>.</w:t>
      </w:r>
    </w:p>
    <w:p w14:paraId="539C1717" w14:textId="77777777" w:rsidR="009D4CC9" w:rsidRDefault="009D4CC9" w:rsidP="009D4CC9">
      <w:pPr>
        <w:jc w:val="both"/>
        <w:rPr>
          <w:rFonts w:ascii="Calibri" w:eastAsia="Calibri" w:hAnsi="Calibri" w:cs="Calibri"/>
          <w:color w:val="212529"/>
        </w:rPr>
      </w:pPr>
      <w:r w:rsidRPr="00BF390F">
        <w:rPr>
          <w:rFonts w:ascii="Calibri" w:eastAsia="Calibri" w:hAnsi="Calibri" w:cs="Calibri"/>
          <w:b/>
          <w:bCs/>
          <w:color w:val="212529"/>
        </w:rPr>
        <w:t>10</w:t>
      </w:r>
      <w:r w:rsidRPr="00E76BED">
        <w:rPr>
          <w:rFonts w:ascii="Calibri" w:eastAsia="Calibri" w:hAnsi="Calibri" w:cs="Calibri"/>
          <w:b/>
          <w:bCs/>
          <w:color w:val="212529"/>
        </w:rPr>
        <w:t>.1 Learners attending the following courses are fee exempt</w:t>
      </w:r>
      <w:r w:rsidRPr="1ED2278F">
        <w:rPr>
          <w:rFonts w:ascii="Calibri" w:eastAsia="Calibri" w:hAnsi="Calibri" w:cs="Calibri"/>
          <w:color w:val="212529"/>
        </w:rPr>
        <w:t>:</w:t>
      </w:r>
    </w:p>
    <w:p w14:paraId="262EC16C"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 xml:space="preserve">Courses </w:t>
      </w:r>
      <w:r w:rsidRPr="52E8BBB1">
        <w:rPr>
          <w:rFonts w:ascii="Calibri" w:eastAsia="Calibri" w:hAnsi="Calibri" w:cs="Calibri"/>
          <w:color w:val="212529"/>
        </w:rPr>
        <w:t>aimed at</w:t>
      </w:r>
      <w:r w:rsidRPr="1ED2278F">
        <w:rPr>
          <w:rFonts w:ascii="Calibri" w:eastAsia="Calibri" w:hAnsi="Calibri" w:cs="Calibri"/>
          <w:color w:val="212529"/>
        </w:rPr>
        <w:t xml:space="preserve"> Improving Essential Skills (IES)</w:t>
      </w:r>
      <w:r>
        <w:rPr>
          <w:rFonts w:ascii="Calibri" w:eastAsia="Calibri" w:hAnsi="Calibri" w:cs="Calibri"/>
          <w:color w:val="212529"/>
        </w:rPr>
        <w:t>.</w:t>
      </w:r>
    </w:p>
    <w:p w14:paraId="6ABF0D92" w14:textId="77777777" w:rsidR="009D4CC9" w:rsidRDefault="009D4CC9" w:rsidP="009D4CC9">
      <w:pPr>
        <w:pStyle w:val="ListParagraph"/>
        <w:numPr>
          <w:ilvl w:val="0"/>
          <w:numId w:val="2"/>
        </w:numPr>
        <w:jc w:val="both"/>
        <w:rPr>
          <w:rFonts w:ascii="Calibri" w:eastAsia="Calibri" w:hAnsi="Calibri" w:cs="Calibri"/>
          <w:color w:val="212529"/>
        </w:rPr>
      </w:pPr>
      <w:r w:rsidRPr="210AD588">
        <w:rPr>
          <w:rFonts w:ascii="Calibri" w:eastAsia="Calibri" w:hAnsi="Calibri" w:cs="Calibri"/>
          <w:color w:val="212529"/>
        </w:rPr>
        <w:t xml:space="preserve">Courses </w:t>
      </w:r>
      <w:r w:rsidRPr="52E8BBB1">
        <w:rPr>
          <w:rFonts w:ascii="Calibri" w:eastAsia="Calibri" w:hAnsi="Calibri" w:cs="Calibri"/>
          <w:color w:val="212529"/>
        </w:rPr>
        <w:t>aimed at</w:t>
      </w:r>
      <w:r w:rsidRPr="210AD588">
        <w:rPr>
          <w:rFonts w:ascii="Calibri" w:eastAsia="Calibri" w:hAnsi="Calibri" w:cs="Calibri"/>
          <w:color w:val="212529"/>
        </w:rPr>
        <w:t xml:space="preserve"> Supporting Children’s Learning (SCL)</w:t>
      </w:r>
      <w:r>
        <w:rPr>
          <w:rFonts w:ascii="Calibri" w:eastAsia="Calibri" w:hAnsi="Calibri" w:cs="Calibri"/>
          <w:color w:val="212529"/>
        </w:rPr>
        <w:t>.</w:t>
      </w:r>
    </w:p>
    <w:p w14:paraId="3E7882DD" w14:textId="77777777" w:rsidR="009D4CC9" w:rsidRDefault="009D4CC9" w:rsidP="009D4CC9">
      <w:pPr>
        <w:pStyle w:val="ListParagraph"/>
        <w:numPr>
          <w:ilvl w:val="0"/>
          <w:numId w:val="2"/>
        </w:numPr>
        <w:jc w:val="both"/>
        <w:rPr>
          <w:rFonts w:ascii="Calibri" w:eastAsia="Calibri" w:hAnsi="Calibri" w:cs="Calibri"/>
          <w:color w:val="212529"/>
        </w:rPr>
      </w:pPr>
      <w:r w:rsidRPr="52E8BBB1">
        <w:rPr>
          <w:rFonts w:ascii="Calibri" w:eastAsia="Calibri" w:hAnsi="Calibri" w:cs="Calibri"/>
          <w:color w:val="212529"/>
        </w:rPr>
        <w:t xml:space="preserve">Courses aimed at </w:t>
      </w:r>
      <w:r>
        <w:rPr>
          <w:rFonts w:ascii="Calibri" w:eastAsia="Calibri" w:hAnsi="Calibri" w:cs="Calibri"/>
          <w:color w:val="212529"/>
        </w:rPr>
        <w:t>Preparation for Employment (PFE</w:t>
      </w:r>
      <w:r w:rsidRPr="69E0E48F">
        <w:rPr>
          <w:rFonts w:ascii="Calibri" w:eastAsia="Calibri" w:hAnsi="Calibri" w:cs="Calibri"/>
          <w:color w:val="212529"/>
        </w:rPr>
        <w:t>)</w:t>
      </w:r>
      <w:r>
        <w:rPr>
          <w:rFonts w:ascii="Calibri" w:eastAsia="Calibri" w:hAnsi="Calibri" w:cs="Calibri"/>
          <w:color w:val="212529"/>
        </w:rPr>
        <w:t>.</w:t>
      </w:r>
    </w:p>
    <w:p w14:paraId="3041368C" w14:textId="77777777" w:rsidR="009D4CC9" w:rsidRPr="00E76BED" w:rsidRDefault="009D4CC9" w:rsidP="009D4CC9">
      <w:pPr>
        <w:jc w:val="both"/>
        <w:rPr>
          <w:rFonts w:ascii="Calibri" w:eastAsia="Calibri" w:hAnsi="Calibri" w:cs="Calibri"/>
          <w:b/>
          <w:bCs/>
          <w:color w:val="212529"/>
        </w:rPr>
      </w:pPr>
      <w:r>
        <w:rPr>
          <w:rFonts w:ascii="Calibri" w:eastAsia="Calibri" w:hAnsi="Calibri" w:cs="Calibri"/>
          <w:b/>
          <w:bCs/>
          <w:color w:val="212529"/>
        </w:rPr>
        <w:t>10</w:t>
      </w:r>
      <w:r w:rsidRPr="00E76BED">
        <w:rPr>
          <w:rFonts w:ascii="Calibri" w:eastAsia="Calibri" w:hAnsi="Calibri" w:cs="Calibri"/>
          <w:b/>
          <w:bCs/>
          <w:color w:val="212529"/>
        </w:rPr>
        <w:t>.2 Learners in receipt of the following state benefits are Fee Exempt;</w:t>
      </w:r>
    </w:p>
    <w:p w14:paraId="50D65FAA" w14:textId="77777777" w:rsidR="009D4CC9" w:rsidRDefault="009D4CC9" w:rsidP="009D4CC9">
      <w:pPr>
        <w:pStyle w:val="ListParagraph"/>
        <w:numPr>
          <w:ilvl w:val="0"/>
          <w:numId w:val="3"/>
        </w:numPr>
        <w:jc w:val="both"/>
        <w:rPr>
          <w:rFonts w:ascii="Calibri" w:eastAsia="Calibri" w:hAnsi="Calibri" w:cs="Calibri"/>
          <w:color w:val="212529"/>
        </w:rPr>
      </w:pPr>
      <w:r>
        <w:rPr>
          <w:rFonts w:ascii="Calibri" w:eastAsia="Calibri" w:hAnsi="Calibri" w:cs="Calibri"/>
          <w:color w:val="212529"/>
        </w:rPr>
        <w:t>Universal Credit (Including those on Administrative Earnings Threshold (AET).</w:t>
      </w:r>
    </w:p>
    <w:p w14:paraId="4B20EF8C" w14:textId="77777777" w:rsidR="009D4CC9" w:rsidRDefault="009D4CC9" w:rsidP="009D4CC9">
      <w:pPr>
        <w:pStyle w:val="ListParagraph"/>
        <w:numPr>
          <w:ilvl w:val="0"/>
          <w:numId w:val="3"/>
        </w:numPr>
        <w:jc w:val="both"/>
        <w:rPr>
          <w:rFonts w:ascii="Calibri" w:eastAsia="Calibri" w:hAnsi="Calibri" w:cs="Calibri"/>
          <w:color w:val="212529"/>
        </w:rPr>
      </w:pPr>
      <w:r>
        <w:rPr>
          <w:rFonts w:ascii="Calibri" w:eastAsia="Calibri" w:hAnsi="Calibri" w:cs="Calibri"/>
          <w:color w:val="212529"/>
        </w:rPr>
        <w:t>Job Seekers Allowance (JSA).</w:t>
      </w:r>
    </w:p>
    <w:p w14:paraId="4992B230" w14:textId="77777777" w:rsidR="009D4CC9" w:rsidRPr="0099694F" w:rsidRDefault="009D4CC9" w:rsidP="009D4CC9">
      <w:pPr>
        <w:pStyle w:val="ListParagraph"/>
        <w:numPr>
          <w:ilvl w:val="0"/>
          <w:numId w:val="3"/>
        </w:numPr>
        <w:jc w:val="both"/>
        <w:rPr>
          <w:rFonts w:ascii="Calibri" w:eastAsia="Calibri" w:hAnsi="Calibri" w:cs="Calibri"/>
          <w:color w:val="212529"/>
        </w:rPr>
      </w:pPr>
      <w:r>
        <w:rPr>
          <w:rFonts w:ascii="Calibri" w:eastAsia="Calibri" w:hAnsi="Calibri" w:cs="Calibri"/>
          <w:color w:val="212529"/>
        </w:rPr>
        <w:t>Employment Support Allowance (ESA).</w:t>
      </w:r>
    </w:p>
    <w:p w14:paraId="1BCABD99"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Carers Allowance</w:t>
      </w:r>
      <w:r>
        <w:rPr>
          <w:rFonts w:ascii="Calibri" w:eastAsia="Calibri" w:hAnsi="Calibri" w:cs="Calibri"/>
          <w:color w:val="212529"/>
        </w:rPr>
        <w:t>.</w:t>
      </w:r>
    </w:p>
    <w:p w14:paraId="4BD8481C" w14:textId="77777777" w:rsidR="009D4CC9" w:rsidRDefault="009D4CC9" w:rsidP="009D4CC9">
      <w:pPr>
        <w:pStyle w:val="ListParagraph"/>
        <w:numPr>
          <w:ilvl w:val="0"/>
          <w:numId w:val="2"/>
        </w:numPr>
        <w:jc w:val="both"/>
        <w:rPr>
          <w:rFonts w:ascii="Calibri" w:eastAsia="Calibri" w:hAnsi="Calibri" w:cs="Calibri"/>
          <w:color w:val="212529"/>
        </w:rPr>
      </w:pPr>
      <w:r>
        <w:rPr>
          <w:rFonts w:ascii="Calibri" w:eastAsia="Calibri" w:hAnsi="Calibri" w:cs="Calibri"/>
          <w:color w:val="212529"/>
        </w:rPr>
        <w:t>Other income-based benefits, please check with Adult Learning Team if unsure.</w:t>
      </w:r>
    </w:p>
    <w:p w14:paraId="4353367C" w14:textId="77777777" w:rsidR="009D4CC9" w:rsidRPr="00DA36FC" w:rsidRDefault="009D4CC9" w:rsidP="009D4CC9">
      <w:pPr>
        <w:jc w:val="both"/>
        <w:rPr>
          <w:rFonts w:ascii="Calibri" w:eastAsia="Calibri" w:hAnsi="Calibri" w:cs="Calibri"/>
          <w:b/>
          <w:bCs/>
          <w:color w:val="212529"/>
        </w:rPr>
      </w:pPr>
      <w:r>
        <w:rPr>
          <w:rFonts w:ascii="Calibri" w:eastAsia="Calibri" w:hAnsi="Calibri" w:cs="Calibri"/>
          <w:b/>
          <w:bCs/>
          <w:color w:val="212529"/>
        </w:rPr>
        <w:t>10</w:t>
      </w:r>
      <w:r w:rsidRPr="00DA36FC">
        <w:rPr>
          <w:rFonts w:ascii="Calibri" w:eastAsia="Calibri" w:hAnsi="Calibri" w:cs="Calibri"/>
          <w:b/>
          <w:bCs/>
          <w:color w:val="212529"/>
        </w:rPr>
        <w:t>.3 Learners who fall into one of the following categories are Fee Exempt:</w:t>
      </w:r>
    </w:p>
    <w:p w14:paraId="6A5E047E"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An offender serving their sentence in the community.</w:t>
      </w:r>
    </w:p>
    <w:p w14:paraId="33DF409F"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An Asylum Seeker in receipt of the equivalent of an income-based state benefit.</w:t>
      </w:r>
    </w:p>
    <w:p w14:paraId="16BEEE5A"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unwaged dependant of an Asylum Seeker.</w:t>
      </w:r>
    </w:p>
    <w:p w14:paraId="35CABD53"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An individual who is economically inactive because they are unable to claim income related state benefits.</w:t>
      </w:r>
    </w:p>
    <w:p w14:paraId="3DCDEFB2" w14:textId="77777777" w:rsidR="009D4CC9" w:rsidRDefault="009D4CC9" w:rsidP="009D4CC9">
      <w:pPr>
        <w:pStyle w:val="ListParagraph"/>
        <w:numPr>
          <w:ilvl w:val="0"/>
          <w:numId w:val="2"/>
        </w:numPr>
        <w:jc w:val="both"/>
        <w:rPr>
          <w:rFonts w:ascii="Calibri" w:eastAsia="Calibri" w:hAnsi="Calibri" w:cs="Calibri"/>
          <w:color w:val="212529"/>
        </w:rPr>
      </w:pPr>
      <w:r w:rsidRPr="459908CC">
        <w:rPr>
          <w:rFonts w:ascii="Calibri" w:eastAsia="Calibri" w:hAnsi="Calibri" w:cs="Calibri"/>
          <w:b/>
          <w:bCs/>
          <w:color w:val="212529"/>
        </w:rPr>
        <w:t xml:space="preserve">Working full time (37 hours per week) </w:t>
      </w:r>
      <w:r w:rsidRPr="459908CC">
        <w:rPr>
          <w:rFonts w:ascii="Calibri" w:eastAsia="Calibri" w:hAnsi="Calibri" w:cs="Calibri"/>
          <w:color w:val="212529"/>
        </w:rPr>
        <w:t>and earning less than £</w:t>
      </w:r>
      <w:r w:rsidRPr="69E0E48F">
        <w:rPr>
          <w:rFonts w:ascii="Calibri" w:eastAsia="Calibri" w:hAnsi="Calibri" w:cs="Calibri"/>
          <w:color w:val="212529"/>
        </w:rPr>
        <w:t>25,000</w:t>
      </w:r>
      <w:r>
        <w:rPr>
          <w:rFonts w:ascii="Calibri" w:eastAsia="Calibri" w:hAnsi="Calibri" w:cs="Calibri"/>
          <w:color w:val="212529"/>
        </w:rPr>
        <w:t>.</w:t>
      </w:r>
    </w:p>
    <w:p w14:paraId="207151A3" w14:textId="77777777" w:rsidR="009D4CC9" w:rsidRPr="00A717E2" w:rsidRDefault="009D4CC9" w:rsidP="009D4CC9">
      <w:pPr>
        <w:pStyle w:val="ListParagraph"/>
        <w:numPr>
          <w:ilvl w:val="0"/>
          <w:numId w:val="2"/>
        </w:numPr>
        <w:jc w:val="both"/>
        <w:rPr>
          <w:rFonts w:ascii="Calibri" w:eastAsia="Calibri" w:hAnsi="Calibri" w:cs="Calibri"/>
          <w:b/>
          <w:bCs/>
          <w:color w:val="212529"/>
        </w:rPr>
      </w:pPr>
      <w:r w:rsidRPr="1ED2278F">
        <w:rPr>
          <w:rFonts w:ascii="Calibri" w:eastAsia="Calibri" w:hAnsi="Calibri" w:cs="Calibri"/>
          <w:color w:val="212529"/>
        </w:rPr>
        <w:t xml:space="preserve">Where learners do not work full time, their hourly rate of pay must be less than </w:t>
      </w:r>
      <w:r w:rsidRPr="00A717E2">
        <w:rPr>
          <w:rFonts w:ascii="Calibri" w:eastAsia="Calibri" w:hAnsi="Calibri" w:cs="Calibri"/>
          <w:b/>
          <w:bCs/>
          <w:color w:val="212529"/>
        </w:rPr>
        <w:t>£</w:t>
      </w:r>
      <w:r w:rsidRPr="69E0E48F">
        <w:rPr>
          <w:rFonts w:ascii="Calibri" w:eastAsia="Calibri" w:hAnsi="Calibri" w:cs="Calibri"/>
          <w:b/>
          <w:bCs/>
          <w:color w:val="212529"/>
        </w:rPr>
        <w:t>13.05</w:t>
      </w:r>
      <w:r w:rsidRPr="00A717E2">
        <w:rPr>
          <w:rFonts w:ascii="Calibri" w:eastAsia="Calibri" w:hAnsi="Calibri" w:cs="Calibri"/>
          <w:b/>
          <w:bCs/>
          <w:color w:val="212529"/>
        </w:rPr>
        <w:t xml:space="preserve"> per hour</w:t>
      </w:r>
      <w:r>
        <w:rPr>
          <w:rFonts w:ascii="Calibri" w:eastAsia="Calibri" w:hAnsi="Calibri" w:cs="Calibri"/>
          <w:b/>
          <w:bCs/>
          <w:color w:val="212529"/>
        </w:rPr>
        <w:t>.</w:t>
      </w:r>
    </w:p>
    <w:p w14:paraId="3655A91E" w14:textId="77777777" w:rsidR="009D4CC9" w:rsidRDefault="009D4CC9" w:rsidP="009D4CC9">
      <w:pPr>
        <w:pStyle w:val="ListParagraph"/>
        <w:numPr>
          <w:ilvl w:val="0"/>
          <w:numId w:val="2"/>
        </w:numPr>
        <w:jc w:val="both"/>
        <w:rPr>
          <w:rFonts w:ascii="Calibri" w:eastAsia="Calibri" w:hAnsi="Calibri" w:cs="Calibri"/>
          <w:color w:val="212529"/>
        </w:rPr>
      </w:pPr>
      <w:r w:rsidRPr="58C6241E">
        <w:rPr>
          <w:rFonts w:ascii="Calibri" w:eastAsia="Calibri" w:hAnsi="Calibri" w:cs="Calibri"/>
          <w:color w:val="212529"/>
        </w:rPr>
        <w:t>An individual suffering hardship – see below guidance.</w:t>
      </w:r>
    </w:p>
    <w:p w14:paraId="0F45A1A5" w14:textId="77777777" w:rsidR="009D4CC9" w:rsidRDefault="009D4CC9" w:rsidP="009D4CC9">
      <w:pPr>
        <w:jc w:val="both"/>
        <w:rPr>
          <w:rFonts w:ascii="Calibri" w:eastAsia="Calibri" w:hAnsi="Calibri" w:cs="Calibri"/>
          <w:b/>
          <w:bCs/>
          <w:color w:val="212529"/>
        </w:rPr>
      </w:pPr>
      <w:r w:rsidRPr="1ED2278F">
        <w:rPr>
          <w:rFonts w:ascii="Calibri" w:eastAsia="Calibri" w:hAnsi="Calibri" w:cs="Calibri"/>
          <w:b/>
          <w:bCs/>
          <w:color w:val="212529"/>
        </w:rPr>
        <w:t>Full Fee (Contribution)</w:t>
      </w:r>
    </w:p>
    <w:p w14:paraId="7D56DDD3"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£5.</w:t>
      </w:r>
      <w:r w:rsidRPr="69E0E48F">
        <w:rPr>
          <w:rFonts w:ascii="Calibri" w:eastAsia="Calibri" w:hAnsi="Calibri" w:cs="Calibri"/>
          <w:color w:val="212529"/>
        </w:rPr>
        <w:t>00</w:t>
      </w:r>
      <w:r w:rsidRPr="1ED2278F">
        <w:rPr>
          <w:rFonts w:ascii="Calibri" w:eastAsia="Calibri" w:hAnsi="Calibri" w:cs="Calibri"/>
          <w:color w:val="212529"/>
        </w:rPr>
        <w:t xml:space="preserve"> per guided learning hour (GLH</w:t>
      </w:r>
      <w:r w:rsidRPr="69E0E48F">
        <w:rPr>
          <w:rFonts w:ascii="Calibri" w:eastAsia="Calibri" w:hAnsi="Calibri" w:cs="Calibri"/>
          <w:color w:val="212529"/>
        </w:rPr>
        <w:t>)</w:t>
      </w:r>
      <w:r>
        <w:rPr>
          <w:rFonts w:ascii="Calibri" w:eastAsia="Calibri" w:hAnsi="Calibri" w:cs="Calibri"/>
          <w:color w:val="212529"/>
        </w:rPr>
        <w:t>.</w:t>
      </w:r>
    </w:p>
    <w:p w14:paraId="0888F246" w14:textId="77777777" w:rsidR="009D4CC9" w:rsidRDefault="009D4CC9" w:rsidP="009D4CC9">
      <w:pPr>
        <w:jc w:val="both"/>
        <w:rPr>
          <w:rFonts w:ascii="Calibri" w:eastAsia="Calibri" w:hAnsi="Calibri" w:cs="Calibri"/>
          <w:color w:val="212529"/>
        </w:rPr>
      </w:pPr>
      <w:r w:rsidRPr="419AF70D">
        <w:rPr>
          <w:rFonts w:ascii="Calibri" w:eastAsia="Calibri" w:hAnsi="Calibri" w:cs="Calibri"/>
          <w:color w:val="212529"/>
        </w:rPr>
        <w:t>This applies to</w:t>
      </w:r>
    </w:p>
    <w:p w14:paraId="08C31C68" w14:textId="77777777" w:rsidR="009D4CC9" w:rsidRDefault="009D4CC9" w:rsidP="009D4CC9">
      <w:pPr>
        <w:pStyle w:val="ListParagraph"/>
        <w:numPr>
          <w:ilvl w:val="0"/>
          <w:numId w:val="2"/>
        </w:numPr>
        <w:jc w:val="both"/>
        <w:rPr>
          <w:rFonts w:ascii="Calibri" w:eastAsia="Calibri" w:hAnsi="Calibri" w:cs="Calibri"/>
          <w:color w:val="212529"/>
        </w:rPr>
      </w:pPr>
      <w:r w:rsidRPr="13F4143F">
        <w:rPr>
          <w:rFonts w:ascii="Calibri" w:eastAsia="Calibri" w:hAnsi="Calibri" w:cs="Calibri"/>
          <w:color w:val="212529"/>
        </w:rPr>
        <w:lastRenderedPageBreak/>
        <w:t>Learners on courses who are not eligible fee exemption</w:t>
      </w:r>
    </w:p>
    <w:p w14:paraId="4025855E"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Economically inactive learners who are not eligible for a reduced fee or fee exemption</w:t>
      </w:r>
    </w:p>
    <w:p w14:paraId="7A7A3AD7" w14:textId="77777777" w:rsidR="009D4CC9" w:rsidRDefault="009D4CC9" w:rsidP="009D4CC9">
      <w:pPr>
        <w:jc w:val="both"/>
        <w:rPr>
          <w:rFonts w:ascii="Calibri" w:eastAsia="Calibri" w:hAnsi="Calibri" w:cs="Calibri"/>
          <w:b/>
          <w:bCs/>
          <w:color w:val="212529"/>
        </w:rPr>
      </w:pPr>
      <w:r w:rsidRPr="1ED2278F">
        <w:rPr>
          <w:rFonts w:ascii="Calibri" w:eastAsia="Calibri" w:hAnsi="Calibri" w:cs="Calibri"/>
          <w:b/>
          <w:bCs/>
          <w:color w:val="212529"/>
        </w:rPr>
        <w:t>Reduced Fee (Contribution)</w:t>
      </w:r>
    </w:p>
    <w:p w14:paraId="3E304630" w14:textId="77777777" w:rsidR="009D4CC9" w:rsidRDefault="009D4CC9" w:rsidP="009D4CC9">
      <w:pPr>
        <w:pStyle w:val="ListParagraph"/>
        <w:numPr>
          <w:ilvl w:val="0"/>
          <w:numId w:val="2"/>
        </w:numPr>
        <w:jc w:val="both"/>
        <w:rPr>
          <w:rFonts w:ascii="Calibri" w:eastAsia="Calibri" w:hAnsi="Calibri" w:cs="Calibri"/>
          <w:color w:val="212529"/>
        </w:rPr>
      </w:pPr>
      <w:r w:rsidRPr="6E468BA2">
        <w:rPr>
          <w:rFonts w:ascii="Calibri" w:eastAsia="Calibri" w:hAnsi="Calibri" w:cs="Calibri"/>
          <w:color w:val="212529"/>
        </w:rPr>
        <w:t>£1.</w:t>
      </w:r>
      <w:r w:rsidRPr="69E0E48F">
        <w:rPr>
          <w:rFonts w:ascii="Calibri" w:eastAsia="Calibri" w:hAnsi="Calibri" w:cs="Calibri"/>
          <w:color w:val="212529"/>
        </w:rPr>
        <w:t>50</w:t>
      </w:r>
      <w:r w:rsidRPr="6E468BA2">
        <w:rPr>
          <w:rFonts w:ascii="Calibri" w:eastAsia="Calibri" w:hAnsi="Calibri" w:cs="Calibri"/>
          <w:color w:val="212529"/>
        </w:rPr>
        <w:t xml:space="preserve"> per guided learning hour (GLH</w:t>
      </w:r>
      <w:r w:rsidRPr="69E0E48F">
        <w:rPr>
          <w:rFonts w:ascii="Calibri" w:eastAsia="Calibri" w:hAnsi="Calibri" w:cs="Calibri"/>
          <w:color w:val="212529"/>
        </w:rPr>
        <w:t>)</w:t>
      </w:r>
      <w:r>
        <w:rPr>
          <w:rFonts w:ascii="Calibri" w:eastAsia="Calibri" w:hAnsi="Calibri" w:cs="Calibri"/>
          <w:color w:val="212529"/>
        </w:rPr>
        <w:t>.</w:t>
      </w:r>
    </w:p>
    <w:p w14:paraId="5D01717C" w14:textId="77777777" w:rsidR="009D4CC9" w:rsidRDefault="009D4CC9" w:rsidP="009D4CC9">
      <w:pPr>
        <w:jc w:val="both"/>
        <w:rPr>
          <w:rFonts w:ascii="Calibri" w:eastAsia="Calibri" w:hAnsi="Calibri" w:cs="Calibri"/>
          <w:color w:val="212529"/>
        </w:rPr>
      </w:pPr>
      <w:r w:rsidRPr="419AF70D">
        <w:rPr>
          <w:rFonts w:ascii="Calibri" w:eastAsia="Calibri" w:hAnsi="Calibri" w:cs="Calibri"/>
          <w:color w:val="212529"/>
        </w:rPr>
        <w:t>This applies to</w:t>
      </w:r>
    </w:p>
    <w:p w14:paraId="1B6B77EB"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Learners who are in receipt of a State Pension and are not eligible for a fee exemption. 65+yrs for men and women.</w:t>
      </w:r>
    </w:p>
    <w:p w14:paraId="04E42BFF" w14:textId="77777777" w:rsidR="009D4CC9" w:rsidRPr="00E76BED" w:rsidRDefault="009D4CC9" w:rsidP="009D4CC9">
      <w:pPr>
        <w:jc w:val="both"/>
        <w:rPr>
          <w:rFonts w:ascii="Calibri" w:eastAsia="Calibri" w:hAnsi="Calibri" w:cs="Calibri"/>
          <w:b/>
          <w:bCs/>
          <w:color w:val="212529"/>
        </w:rPr>
      </w:pPr>
      <w:r>
        <w:rPr>
          <w:rFonts w:ascii="Calibri" w:eastAsia="Calibri" w:hAnsi="Calibri" w:cs="Calibri"/>
          <w:b/>
          <w:bCs/>
          <w:color w:val="212529"/>
        </w:rPr>
        <w:t>10</w:t>
      </w:r>
      <w:r w:rsidRPr="00E76BED">
        <w:rPr>
          <w:rFonts w:ascii="Calibri" w:eastAsia="Calibri" w:hAnsi="Calibri" w:cs="Calibri"/>
          <w:b/>
          <w:bCs/>
          <w:color w:val="212529"/>
        </w:rPr>
        <w:t>.4 Evidencing Fee Exemption</w:t>
      </w:r>
    </w:p>
    <w:p w14:paraId="40787CE6" w14:textId="77777777" w:rsidR="009D4CC9" w:rsidRDefault="009D4CC9" w:rsidP="009D4CC9">
      <w:pPr>
        <w:jc w:val="both"/>
        <w:rPr>
          <w:rFonts w:ascii="Calibri" w:eastAsia="Calibri" w:hAnsi="Calibri" w:cs="Calibri"/>
          <w:color w:val="212529"/>
        </w:rPr>
      </w:pPr>
      <w:r w:rsidRPr="419AF70D">
        <w:rPr>
          <w:rFonts w:ascii="Calibri" w:eastAsia="Calibri" w:hAnsi="Calibri" w:cs="Calibri"/>
          <w:color w:val="212529"/>
        </w:rPr>
        <w:t>To be eligible for fee exemption learners must provide appropriate written evidence.</w:t>
      </w:r>
    </w:p>
    <w:p w14:paraId="695C6449" w14:textId="77777777" w:rsidR="009D4CC9" w:rsidRDefault="009D4CC9" w:rsidP="009D4CC9">
      <w:pPr>
        <w:jc w:val="both"/>
        <w:rPr>
          <w:rFonts w:ascii="Calibri" w:eastAsia="Calibri" w:hAnsi="Calibri" w:cs="Calibri"/>
          <w:b/>
          <w:bCs/>
          <w:color w:val="212529"/>
        </w:rPr>
      </w:pPr>
      <w:r w:rsidRPr="419AF70D">
        <w:rPr>
          <w:rFonts w:ascii="Calibri" w:eastAsia="Calibri" w:hAnsi="Calibri" w:cs="Calibri"/>
          <w:b/>
          <w:bCs/>
          <w:color w:val="212529"/>
        </w:rPr>
        <w:t>Subcontract partners are required to check and keep any evidence as required by WYCA funding guidance for 202</w:t>
      </w:r>
      <w:r>
        <w:rPr>
          <w:rFonts w:ascii="Calibri" w:eastAsia="Calibri" w:hAnsi="Calibri" w:cs="Calibri"/>
          <w:b/>
          <w:bCs/>
          <w:color w:val="212529"/>
        </w:rPr>
        <w:t>4</w:t>
      </w:r>
      <w:r w:rsidRPr="419AF70D">
        <w:rPr>
          <w:rFonts w:ascii="Calibri" w:eastAsia="Calibri" w:hAnsi="Calibri" w:cs="Calibri"/>
          <w:b/>
          <w:bCs/>
          <w:color w:val="212529"/>
        </w:rPr>
        <w:t>-202</w:t>
      </w:r>
      <w:r>
        <w:rPr>
          <w:rFonts w:ascii="Calibri" w:eastAsia="Calibri" w:hAnsi="Calibri" w:cs="Calibri"/>
          <w:b/>
          <w:bCs/>
          <w:color w:val="212529"/>
        </w:rPr>
        <w:t>5:</w:t>
      </w:r>
    </w:p>
    <w:p w14:paraId="18803178"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Learner evidence which is inappropriate will result in the learner being charged a Full Fee rate. If the learner is no longer on the course the subcontract partner will be required to cover the cost of the full fee rate.</w:t>
      </w:r>
    </w:p>
    <w:p w14:paraId="08F6801F"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Council can advise on the appropriateness of evidence.</w:t>
      </w:r>
    </w:p>
    <w:p w14:paraId="739DC939" w14:textId="77777777" w:rsidR="009D4CC9" w:rsidRPr="00E76BED" w:rsidRDefault="009D4CC9" w:rsidP="009D4CC9">
      <w:pPr>
        <w:jc w:val="both"/>
        <w:rPr>
          <w:rFonts w:ascii="Calibri" w:eastAsia="Calibri" w:hAnsi="Calibri" w:cs="Calibri"/>
          <w:b/>
          <w:bCs/>
          <w:color w:val="212529"/>
        </w:rPr>
      </w:pPr>
      <w:r w:rsidRPr="00E76BED">
        <w:rPr>
          <w:rFonts w:ascii="Calibri" w:eastAsia="Calibri" w:hAnsi="Calibri" w:cs="Calibri"/>
          <w:b/>
          <w:bCs/>
          <w:color w:val="212529"/>
        </w:rPr>
        <w:t>Full Cost Courses (No funding attached)</w:t>
      </w:r>
    </w:p>
    <w:p w14:paraId="073D971B" w14:textId="77777777" w:rsidR="009D4CC9" w:rsidRDefault="009D4CC9" w:rsidP="009D4CC9">
      <w:pPr>
        <w:jc w:val="both"/>
        <w:rPr>
          <w:rFonts w:ascii="Calibri" w:eastAsia="Calibri" w:hAnsi="Calibri" w:cs="Calibri"/>
          <w:color w:val="212529"/>
        </w:rPr>
      </w:pPr>
      <w:r w:rsidRPr="1ED2278F">
        <w:rPr>
          <w:rFonts w:ascii="Calibri" w:eastAsia="Calibri" w:hAnsi="Calibri" w:cs="Calibri"/>
          <w:color w:val="212529"/>
        </w:rPr>
        <w:t>Where learners do not qualify for a fee, reduced or fee exemption course you can decide to provide courses at full cost. Learners on full cost courses do not count towards funding allocations or within learner number targets. These learners will not be included in monthly ILR exports. You will need to let the Adult Learning team know when learners who pay full cost are attending courses.</w:t>
      </w:r>
    </w:p>
    <w:p w14:paraId="60DAA2F9" w14:textId="77777777" w:rsidR="009D4CC9" w:rsidRPr="00E76BED" w:rsidRDefault="009D4CC9" w:rsidP="009D4CC9">
      <w:pPr>
        <w:jc w:val="both"/>
        <w:rPr>
          <w:rFonts w:ascii="Calibri" w:eastAsia="Calibri" w:hAnsi="Calibri" w:cs="Calibri"/>
          <w:b/>
          <w:bCs/>
          <w:color w:val="212529"/>
        </w:rPr>
      </w:pPr>
      <w:r>
        <w:rPr>
          <w:rFonts w:ascii="Calibri" w:eastAsia="Calibri" w:hAnsi="Calibri" w:cs="Calibri"/>
          <w:b/>
          <w:bCs/>
          <w:color w:val="212529"/>
        </w:rPr>
        <w:t>10</w:t>
      </w:r>
      <w:r w:rsidRPr="00E76BED">
        <w:rPr>
          <w:rFonts w:ascii="Calibri" w:eastAsia="Calibri" w:hAnsi="Calibri" w:cs="Calibri"/>
          <w:b/>
          <w:bCs/>
          <w:color w:val="212529"/>
        </w:rPr>
        <w:t>.</w:t>
      </w:r>
      <w:r>
        <w:rPr>
          <w:rFonts w:ascii="Calibri" w:eastAsia="Calibri" w:hAnsi="Calibri" w:cs="Calibri"/>
          <w:b/>
          <w:bCs/>
          <w:color w:val="212529"/>
        </w:rPr>
        <w:t>5</w:t>
      </w:r>
      <w:r w:rsidRPr="00E76BED">
        <w:rPr>
          <w:rFonts w:ascii="Calibri" w:eastAsia="Calibri" w:hAnsi="Calibri" w:cs="Calibri"/>
          <w:b/>
          <w:bCs/>
          <w:color w:val="212529"/>
        </w:rPr>
        <w:t xml:space="preserve"> Charges for Resources</w:t>
      </w:r>
    </w:p>
    <w:p w14:paraId="3EAB2531" w14:textId="77777777" w:rsidR="009D4CC9" w:rsidRDefault="009D4CC9" w:rsidP="009D4CC9">
      <w:pPr>
        <w:jc w:val="both"/>
        <w:rPr>
          <w:rFonts w:ascii="Calibri" w:eastAsia="Calibri" w:hAnsi="Calibri" w:cs="Calibri"/>
          <w:color w:val="212529"/>
        </w:rPr>
      </w:pPr>
      <w:r w:rsidRPr="6452FEF9">
        <w:rPr>
          <w:rFonts w:ascii="Calibri" w:eastAsia="Calibri" w:hAnsi="Calibri" w:cs="Calibri"/>
          <w:color w:val="212529"/>
        </w:rPr>
        <w:t xml:space="preserve">Where learners are funded through the Learning </w:t>
      </w:r>
      <w:r>
        <w:rPr>
          <w:rFonts w:ascii="Calibri" w:eastAsia="Calibri" w:hAnsi="Calibri" w:cs="Calibri"/>
          <w:color w:val="212529"/>
        </w:rPr>
        <w:t>funding</w:t>
      </w:r>
      <w:r w:rsidRPr="6452FEF9">
        <w:rPr>
          <w:rFonts w:ascii="Calibri" w:eastAsia="Calibri" w:hAnsi="Calibri" w:cs="Calibri"/>
          <w:color w:val="212529"/>
        </w:rPr>
        <w:t>, you</w:t>
      </w:r>
      <w:r w:rsidRPr="6452FEF9">
        <w:rPr>
          <w:rFonts w:ascii="Calibri" w:eastAsia="Calibri" w:hAnsi="Calibri" w:cs="Calibri"/>
          <w:b/>
          <w:bCs/>
          <w:color w:val="212529"/>
        </w:rPr>
        <w:t xml:space="preserve"> cannot </w:t>
      </w:r>
      <w:r w:rsidRPr="6452FEF9">
        <w:rPr>
          <w:rFonts w:ascii="Calibri" w:eastAsia="Calibri" w:hAnsi="Calibri" w:cs="Calibri"/>
          <w:color w:val="212529"/>
        </w:rPr>
        <w:t>make additional compulsory charges, where these costs are directly associated with achieving the aims of a course. Where leaners pay full cost, you can determine any additional costs for resources.</w:t>
      </w:r>
    </w:p>
    <w:p w14:paraId="46BE9082" w14:textId="77777777" w:rsidR="009D4CC9" w:rsidRDefault="009D4CC9" w:rsidP="009D4CC9">
      <w:pPr>
        <w:jc w:val="both"/>
        <w:rPr>
          <w:rFonts w:ascii="Calibri" w:eastAsia="Calibri" w:hAnsi="Calibri" w:cs="Calibri"/>
          <w:b/>
          <w:bCs/>
          <w:color w:val="212529"/>
        </w:rPr>
      </w:pPr>
      <w:r w:rsidRPr="419AF70D">
        <w:rPr>
          <w:rFonts w:ascii="Calibri" w:eastAsia="Calibri" w:hAnsi="Calibri" w:cs="Calibri"/>
          <w:b/>
          <w:bCs/>
          <w:color w:val="212529"/>
        </w:rPr>
        <w:t>Hardship</w:t>
      </w:r>
    </w:p>
    <w:p w14:paraId="17BA9E8D" w14:textId="77777777" w:rsidR="009D4CC9" w:rsidRDefault="009D4CC9" w:rsidP="009D4CC9">
      <w:pPr>
        <w:jc w:val="both"/>
        <w:rPr>
          <w:rFonts w:ascii="Calibri" w:eastAsia="Calibri" w:hAnsi="Calibri" w:cs="Calibri"/>
          <w:color w:val="212529"/>
        </w:rPr>
      </w:pPr>
      <w:r w:rsidRPr="419AF70D">
        <w:rPr>
          <w:rFonts w:ascii="Calibri" w:eastAsia="Calibri" w:hAnsi="Calibri" w:cs="Calibri"/>
          <w:color w:val="212529"/>
        </w:rPr>
        <w:t>Where a learner is required to pay either the full or reduced fees and the subcontract partner considers that an individual is unable to contribute towards the cost of their learning on the grounds of hardship, the subcontract partner should apply to The Council for fee exemption for the learner using the “Application for Learner Fee Discretionary Exemption Form: Hardship”.</w:t>
      </w:r>
    </w:p>
    <w:p w14:paraId="6D613A19" w14:textId="77777777" w:rsidR="009D4CC9" w:rsidRDefault="009D4CC9" w:rsidP="009D4CC9">
      <w:pPr>
        <w:jc w:val="both"/>
        <w:rPr>
          <w:rFonts w:ascii="Calibri" w:eastAsia="Calibri" w:hAnsi="Calibri" w:cs="Calibri"/>
          <w:b/>
          <w:bCs/>
          <w:color w:val="212529"/>
        </w:rPr>
      </w:pPr>
      <w:r>
        <w:rPr>
          <w:rFonts w:ascii="Calibri" w:eastAsia="Calibri" w:hAnsi="Calibri" w:cs="Calibri"/>
          <w:b/>
          <w:bCs/>
          <w:color w:val="212529"/>
        </w:rPr>
        <w:t xml:space="preserve">10.6 </w:t>
      </w:r>
      <w:r w:rsidRPr="419AF70D">
        <w:rPr>
          <w:rFonts w:ascii="Calibri" w:eastAsia="Calibri" w:hAnsi="Calibri" w:cs="Calibri"/>
          <w:b/>
          <w:bCs/>
          <w:color w:val="212529"/>
        </w:rPr>
        <w:t>Learner Enrolment Time – Impact on Fee rate</w:t>
      </w:r>
    </w:p>
    <w:p w14:paraId="45FEB7BC"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Learners enrolling up to and including the third week of a course – the learner fee amount should be for the full length of the course.</w:t>
      </w:r>
    </w:p>
    <w:p w14:paraId="57DB7B71"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 xml:space="preserve">Learners enrolling on the fourth </w:t>
      </w:r>
      <w:r>
        <w:rPr>
          <w:rFonts w:ascii="Calibri" w:eastAsia="Calibri" w:hAnsi="Calibri" w:cs="Calibri"/>
          <w:color w:val="212529"/>
        </w:rPr>
        <w:t xml:space="preserve">week </w:t>
      </w:r>
      <w:r w:rsidRPr="1ED2278F">
        <w:rPr>
          <w:rFonts w:ascii="Calibri" w:eastAsia="Calibri" w:hAnsi="Calibri" w:cs="Calibri"/>
          <w:color w:val="212529"/>
        </w:rPr>
        <w:t>of a course – the learner fee amount should be pro-rata to reflect the number of course hours remaining.</w:t>
      </w:r>
    </w:p>
    <w:p w14:paraId="1A1B7738"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Once a learner has enrolled and attended more than 2 weeks full fee collection will be assumed.</w:t>
      </w:r>
    </w:p>
    <w:p w14:paraId="2AB958AA" w14:textId="77777777" w:rsidR="009D4CC9" w:rsidRDefault="009D4CC9" w:rsidP="009D4CC9">
      <w:pPr>
        <w:jc w:val="both"/>
        <w:rPr>
          <w:rFonts w:ascii="Calibri" w:eastAsia="Calibri" w:hAnsi="Calibri" w:cs="Calibri"/>
          <w:b/>
          <w:bCs/>
          <w:color w:val="212529"/>
        </w:rPr>
      </w:pPr>
      <w:r w:rsidRPr="419AF70D">
        <w:rPr>
          <w:rFonts w:ascii="Calibri" w:eastAsia="Calibri" w:hAnsi="Calibri" w:cs="Calibri"/>
          <w:b/>
          <w:bCs/>
          <w:color w:val="212529"/>
        </w:rPr>
        <w:lastRenderedPageBreak/>
        <w:t xml:space="preserve"> Learner Fee Refunds</w:t>
      </w:r>
    </w:p>
    <w:p w14:paraId="238B49E0" w14:textId="77777777" w:rsidR="009D4CC9" w:rsidRDefault="009D4CC9" w:rsidP="009D4CC9">
      <w:pPr>
        <w:jc w:val="both"/>
        <w:rPr>
          <w:rFonts w:ascii="Calibri" w:eastAsia="Calibri" w:hAnsi="Calibri" w:cs="Calibri"/>
          <w:color w:val="212529"/>
        </w:rPr>
      </w:pPr>
      <w:r w:rsidRPr="419AF70D">
        <w:rPr>
          <w:rFonts w:ascii="Calibri" w:eastAsia="Calibri" w:hAnsi="Calibri" w:cs="Calibri"/>
          <w:color w:val="212529"/>
        </w:rPr>
        <w:t>The subcontract partner should obtain the learner’s fees prior to the learner starting their course. Fees should be refunded in the following circumstances:</w:t>
      </w:r>
    </w:p>
    <w:p w14:paraId="319DE13B"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course fails to form or closes in the third week or earlier – the subcontract partner should return the full fee payment to the learner.</w:t>
      </w:r>
    </w:p>
    <w:p w14:paraId="10D65985"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course closes in the fourth session or subsequent sessions – the subcontract partner should refund the learner a pro-rata amount, taking in to account the course hours remaining and the fee amount paid.</w:t>
      </w:r>
    </w:p>
    <w:p w14:paraId="0A3508EE"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learner withdraws from a course as a result of circumstances beyond their control that could not have been foreseen at the time of enrolment – the fee refund should be calculated according to the guidance given above. The refund may be subject to the deduction of an administration charge.</w:t>
      </w:r>
    </w:p>
    <w:p w14:paraId="2FA43C1F"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learner withdraws from the course out of personal preference – no refund.</w:t>
      </w:r>
    </w:p>
    <w:p w14:paraId="4AA34ACD" w14:textId="77777777" w:rsidR="009D4CC9" w:rsidRDefault="009D4CC9" w:rsidP="009D4CC9">
      <w:pPr>
        <w:jc w:val="both"/>
        <w:rPr>
          <w:rFonts w:ascii="Calibri" w:eastAsia="Calibri" w:hAnsi="Calibri" w:cs="Calibri"/>
          <w:b/>
          <w:bCs/>
          <w:color w:val="212529"/>
        </w:rPr>
      </w:pPr>
      <w:r w:rsidRPr="419AF70D">
        <w:rPr>
          <w:rFonts w:ascii="Calibri" w:eastAsia="Calibri" w:hAnsi="Calibri" w:cs="Calibri"/>
          <w:b/>
          <w:bCs/>
          <w:color w:val="212529"/>
        </w:rPr>
        <w:t>Additional Learner Charges</w:t>
      </w:r>
    </w:p>
    <w:p w14:paraId="757976A2"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Subcontract partners are required to adhere to the hourly fee rates set out above and should not impose any additional surcharges to meet the general cost of providing courses.</w:t>
      </w:r>
    </w:p>
    <w:p w14:paraId="4FC90EB9" w14:textId="77777777" w:rsidR="009D4CC9" w:rsidRDefault="009D4CC9" w:rsidP="009D4CC9">
      <w:pPr>
        <w:jc w:val="both"/>
        <w:rPr>
          <w:rFonts w:ascii="Calibri" w:eastAsia="Calibri" w:hAnsi="Calibri" w:cs="Calibri"/>
          <w:b/>
          <w:bCs/>
          <w:color w:val="212529"/>
        </w:rPr>
      </w:pPr>
      <w:r w:rsidRPr="419AF70D">
        <w:rPr>
          <w:rFonts w:ascii="Calibri" w:eastAsia="Calibri" w:hAnsi="Calibri" w:cs="Calibri"/>
          <w:b/>
          <w:bCs/>
          <w:color w:val="212529"/>
        </w:rPr>
        <w:t>Learner Fee Collection</w:t>
      </w:r>
    </w:p>
    <w:p w14:paraId="6F46C25F"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Subcontract partners are responsible for collecting fees from all eligible learners.</w:t>
      </w:r>
    </w:p>
    <w:p w14:paraId="089B9753"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Fee information should be accurately identified on the Course Proposal Form and the ILR Template.</w:t>
      </w:r>
    </w:p>
    <w:p w14:paraId="5408F257"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ILR will be used to calculate fees owed to The Council.</w:t>
      </w:r>
    </w:p>
    <w:p w14:paraId="7645CD5E"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At the end of the academic year The Council will invoice subcontract partners for the Learner Fees amount.</w:t>
      </w:r>
    </w:p>
    <w:p w14:paraId="6EE48036"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The Council will use the learner fees monies to support ongoing delivery of subsequent Adult Learning provision.</w:t>
      </w:r>
    </w:p>
    <w:p w14:paraId="4F179B91" w14:textId="77777777" w:rsidR="009D4CC9" w:rsidRDefault="009D4CC9" w:rsidP="009D4CC9">
      <w:pPr>
        <w:jc w:val="both"/>
        <w:rPr>
          <w:rFonts w:ascii="Calibri" w:eastAsia="Calibri" w:hAnsi="Calibri" w:cs="Calibri"/>
          <w:b/>
          <w:bCs/>
          <w:color w:val="212529"/>
        </w:rPr>
      </w:pPr>
      <w:r w:rsidRPr="419AF70D">
        <w:rPr>
          <w:rFonts w:ascii="Calibri" w:eastAsia="Calibri" w:hAnsi="Calibri" w:cs="Calibri"/>
          <w:b/>
          <w:bCs/>
          <w:color w:val="212529"/>
        </w:rPr>
        <w:t>Recording Learner Fee Payments</w:t>
      </w:r>
    </w:p>
    <w:p w14:paraId="57B7DE92"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A subcontract partner must record details of all payments (course fees and other charges) made by the learner to the subcontract partner relating to Adult Learning provision.</w:t>
      </w:r>
    </w:p>
    <w:p w14:paraId="43E25929" w14:textId="77777777" w:rsid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A subcontract partner must issue a receipt to the learner for all payments made by the learner.</w:t>
      </w:r>
    </w:p>
    <w:p w14:paraId="4D245007" w14:textId="4F139C5A" w:rsidR="004308D0" w:rsidRPr="009D4CC9" w:rsidRDefault="009D4CC9" w:rsidP="009D4CC9">
      <w:pPr>
        <w:pStyle w:val="ListParagraph"/>
        <w:numPr>
          <w:ilvl w:val="0"/>
          <w:numId w:val="2"/>
        </w:numPr>
        <w:jc w:val="both"/>
        <w:rPr>
          <w:rFonts w:ascii="Calibri" w:eastAsia="Calibri" w:hAnsi="Calibri" w:cs="Calibri"/>
          <w:color w:val="212529"/>
        </w:rPr>
      </w:pPr>
      <w:r w:rsidRPr="1ED2278F">
        <w:rPr>
          <w:rFonts w:ascii="Calibri" w:eastAsia="Calibri" w:hAnsi="Calibri" w:cs="Calibri"/>
          <w:color w:val="212529"/>
        </w:rPr>
        <w:t>Subcontract partners must retain an audit trail for fees received and should make any fees documentation available for audit as required</w:t>
      </w:r>
      <w:r>
        <w:rPr>
          <w:rFonts w:ascii="Calibri" w:eastAsia="Calibri" w:hAnsi="Calibri" w:cs="Calibri"/>
          <w:color w:val="212529"/>
        </w:rPr>
        <w:t>.</w:t>
      </w:r>
    </w:p>
    <w:sectPr w:rsidR="004308D0" w:rsidRPr="009D4C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BD6B" w14:textId="77777777" w:rsidR="007B4EE4" w:rsidRDefault="007B4EE4" w:rsidP="009D4CC9">
      <w:pPr>
        <w:spacing w:after="0" w:line="240" w:lineRule="auto"/>
      </w:pPr>
      <w:r>
        <w:separator/>
      </w:r>
    </w:p>
  </w:endnote>
  <w:endnote w:type="continuationSeparator" w:id="0">
    <w:p w14:paraId="021BFE89" w14:textId="77777777" w:rsidR="007B4EE4" w:rsidRDefault="007B4EE4" w:rsidP="009D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4CA7" w14:textId="77777777" w:rsidR="007B4EE4" w:rsidRDefault="007B4EE4" w:rsidP="009D4CC9">
      <w:pPr>
        <w:spacing w:after="0" w:line="240" w:lineRule="auto"/>
      </w:pPr>
      <w:r>
        <w:separator/>
      </w:r>
    </w:p>
  </w:footnote>
  <w:footnote w:type="continuationSeparator" w:id="0">
    <w:p w14:paraId="6ED12B43" w14:textId="77777777" w:rsidR="007B4EE4" w:rsidRDefault="007B4EE4" w:rsidP="009D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1D7B" w14:textId="42F831F9" w:rsidR="009D4CC9" w:rsidRDefault="009D4CC9">
    <w:pPr>
      <w:pStyle w:val="Header"/>
    </w:pPr>
    <w:r>
      <w:rPr>
        <w:noProof/>
      </w:rPr>
      <w:drawing>
        <wp:inline distT="0" distB="0" distL="0" distR="0" wp14:anchorId="72E5142B" wp14:editId="4516CB75">
          <wp:extent cx="5731510" cy="597535"/>
          <wp:effectExtent l="0" t="0" r="2540" b="0"/>
          <wp:docPr id="1220022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97535"/>
                  </a:xfrm>
                  <a:prstGeom prst="rect">
                    <a:avLst/>
                  </a:prstGeom>
                  <a:noFill/>
                  <a:ln>
                    <a:noFill/>
                  </a:ln>
                </pic:spPr>
              </pic:pic>
            </a:graphicData>
          </a:graphic>
        </wp:inline>
      </w:drawing>
    </w:r>
  </w:p>
  <w:p w14:paraId="1E8A4982" w14:textId="77777777" w:rsidR="009D4CC9" w:rsidRDefault="009D4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C2D7"/>
    <w:multiLevelType w:val="hybridMultilevel"/>
    <w:tmpl w:val="5CBE6F6E"/>
    <w:lvl w:ilvl="0" w:tplc="29B6B386">
      <w:start w:val="1"/>
      <w:numFmt w:val="bullet"/>
      <w:lvlText w:val=""/>
      <w:lvlJc w:val="left"/>
      <w:pPr>
        <w:ind w:left="720" w:hanging="360"/>
      </w:pPr>
      <w:rPr>
        <w:rFonts w:ascii="Symbol" w:hAnsi="Symbol" w:hint="default"/>
      </w:rPr>
    </w:lvl>
    <w:lvl w:ilvl="1" w:tplc="B114EA92">
      <w:start w:val="1"/>
      <w:numFmt w:val="bullet"/>
      <w:lvlText w:val="o"/>
      <w:lvlJc w:val="left"/>
      <w:pPr>
        <w:ind w:left="1440" w:hanging="360"/>
      </w:pPr>
      <w:rPr>
        <w:rFonts w:ascii="Courier New" w:hAnsi="Courier New" w:hint="default"/>
      </w:rPr>
    </w:lvl>
    <w:lvl w:ilvl="2" w:tplc="8898A12A">
      <w:start w:val="1"/>
      <w:numFmt w:val="bullet"/>
      <w:lvlText w:val=""/>
      <w:lvlJc w:val="left"/>
      <w:pPr>
        <w:ind w:left="2160" w:hanging="360"/>
      </w:pPr>
      <w:rPr>
        <w:rFonts w:ascii="Wingdings" w:hAnsi="Wingdings" w:hint="default"/>
      </w:rPr>
    </w:lvl>
    <w:lvl w:ilvl="3" w:tplc="3F0874F6">
      <w:start w:val="1"/>
      <w:numFmt w:val="bullet"/>
      <w:lvlText w:val=""/>
      <w:lvlJc w:val="left"/>
      <w:pPr>
        <w:ind w:left="2880" w:hanging="360"/>
      </w:pPr>
      <w:rPr>
        <w:rFonts w:ascii="Symbol" w:hAnsi="Symbol" w:hint="default"/>
      </w:rPr>
    </w:lvl>
    <w:lvl w:ilvl="4" w:tplc="8646CEAA">
      <w:start w:val="1"/>
      <w:numFmt w:val="bullet"/>
      <w:lvlText w:val="o"/>
      <w:lvlJc w:val="left"/>
      <w:pPr>
        <w:ind w:left="3600" w:hanging="360"/>
      </w:pPr>
      <w:rPr>
        <w:rFonts w:ascii="Courier New" w:hAnsi="Courier New" w:hint="default"/>
      </w:rPr>
    </w:lvl>
    <w:lvl w:ilvl="5" w:tplc="CC489700">
      <w:start w:val="1"/>
      <w:numFmt w:val="bullet"/>
      <w:lvlText w:val=""/>
      <w:lvlJc w:val="left"/>
      <w:pPr>
        <w:ind w:left="4320" w:hanging="360"/>
      </w:pPr>
      <w:rPr>
        <w:rFonts w:ascii="Wingdings" w:hAnsi="Wingdings" w:hint="default"/>
      </w:rPr>
    </w:lvl>
    <w:lvl w:ilvl="6" w:tplc="790AF0B6">
      <w:start w:val="1"/>
      <w:numFmt w:val="bullet"/>
      <w:lvlText w:val=""/>
      <w:lvlJc w:val="left"/>
      <w:pPr>
        <w:ind w:left="5040" w:hanging="360"/>
      </w:pPr>
      <w:rPr>
        <w:rFonts w:ascii="Symbol" w:hAnsi="Symbol" w:hint="default"/>
      </w:rPr>
    </w:lvl>
    <w:lvl w:ilvl="7" w:tplc="342830C8">
      <w:start w:val="1"/>
      <w:numFmt w:val="bullet"/>
      <w:lvlText w:val="o"/>
      <w:lvlJc w:val="left"/>
      <w:pPr>
        <w:ind w:left="5760" w:hanging="360"/>
      </w:pPr>
      <w:rPr>
        <w:rFonts w:ascii="Courier New" w:hAnsi="Courier New" w:hint="default"/>
      </w:rPr>
    </w:lvl>
    <w:lvl w:ilvl="8" w:tplc="E202ED42">
      <w:start w:val="1"/>
      <w:numFmt w:val="bullet"/>
      <w:lvlText w:val=""/>
      <w:lvlJc w:val="left"/>
      <w:pPr>
        <w:ind w:left="6480" w:hanging="360"/>
      </w:pPr>
      <w:rPr>
        <w:rFonts w:ascii="Wingdings" w:hAnsi="Wingdings" w:hint="default"/>
      </w:rPr>
    </w:lvl>
  </w:abstractNum>
  <w:abstractNum w:abstractNumId="1" w15:restartNumberingAfterBreak="0">
    <w:nsid w:val="59F55FDC"/>
    <w:multiLevelType w:val="hybridMultilevel"/>
    <w:tmpl w:val="5B2C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BF1CA"/>
    <w:multiLevelType w:val="hybridMultilevel"/>
    <w:tmpl w:val="995CD8EE"/>
    <w:lvl w:ilvl="0" w:tplc="C368E77C">
      <w:start w:val="1"/>
      <w:numFmt w:val="bullet"/>
      <w:lvlText w:val=""/>
      <w:lvlJc w:val="left"/>
      <w:pPr>
        <w:ind w:left="720" w:hanging="360"/>
      </w:pPr>
      <w:rPr>
        <w:rFonts w:ascii="Symbol" w:hAnsi="Symbol" w:hint="default"/>
      </w:rPr>
    </w:lvl>
    <w:lvl w:ilvl="1" w:tplc="27EE5F0E">
      <w:start w:val="1"/>
      <w:numFmt w:val="bullet"/>
      <w:lvlText w:val="o"/>
      <w:lvlJc w:val="left"/>
      <w:pPr>
        <w:ind w:left="1440" w:hanging="360"/>
      </w:pPr>
      <w:rPr>
        <w:rFonts w:ascii="Courier New" w:hAnsi="Courier New" w:hint="default"/>
      </w:rPr>
    </w:lvl>
    <w:lvl w:ilvl="2" w:tplc="1C2C3298">
      <w:start w:val="1"/>
      <w:numFmt w:val="bullet"/>
      <w:lvlText w:val=""/>
      <w:lvlJc w:val="left"/>
      <w:pPr>
        <w:ind w:left="2160" w:hanging="360"/>
      </w:pPr>
      <w:rPr>
        <w:rFonts w:ascii="Wingdings" w:hAnsi="Wingdings" w:hint="default"/>
      </w:rPr>
    </w:lvl>
    <w:lvl w:ilvl="3" w:tplc="3DA4518A">
      <w:start w:val="1"/>
      <w:numFmt w:val="bullet"/>
      <w:lvlText w:val=""/>
      <w:lvlJc w:val="left"/>
      <w:pPr>
        <w:ind w:left="2880" w:hanging="360"/>
      </w:pPr>
      <w:rPr>
        <w:rFonts w:ascii="Symbol" w:hAnsi="Symbol" w:hint="default"/>
      </w:rPr>
    </w:lvl>
    <w:lvl w:ilvl="4" w:tplc="AC282630">
      <w:start w:val="1"/>
      <w:numFmt w:val="bullet"/>
      <w:lvlText w:val="o"/>
      <w:lvlJc w:val="left"/>
      <w:pPr>
        <w:ind w:left="3600" w:hanging="360"/>
      </w:pPr>
      <w:rPr>
        <w:rFonts w:ascii="Courier New" w:hAnsi="Courier New" w:hint="default"/>
      </w:rPr>
    </w:lvl>
    <w:lvl w:ilvl="5" w:tplc="58D2CE18">
      <w:start w:val="1"/>
      <w:numFmt w:val="bullet"/>
      <w:lvlText w:val=""/>
      <w:lvlJc w:val="left"/>
      <w:pPr>
        <w:ind w:left="4320" w:hanging="360"/>
      </w:pPr>
      <w:rPr>
        <w:rFonts w:ascii="Wingdings" w:hAnsi="Wingdings" w:hint="default"/>
      </w:rPr>
    </w:lvl>
    <w:lvl w:ilvl="6" w:tplc="17E07072">
      <w:start w:val="1"/>
      <w:numFmt w:val="bullet"/>
      <w:lvlText w:val=""/>
      <w:lvlJc w:val="left"/>
      <w:pPr>
        <w:ind w:left="5040" w:hanging="360"/>
      </w:pPr>
      <w:rPr>
        <w:rFonts w:ascii="Symbol" w:hAnsi="Symbol" w:hint="default"/>
      </w:rPr>
    </w:lvl>
    <w:lvl w:ilvl="7" w:tplc="5B78A232">
      <w:start w:val="1"/>
      <w:numFmt w:val="bullet"/>
      <w:lvlText w:val="o"/>
      <w:lvlJc w:val="left"/>
      <w:pPr>
        <w:ind w:left="5760" w:hanging="360"/>
      </w:pPr>
      <w:rPr>
        <w:rFonts w:ascii="Courier New" w:hAnsi="Courier New" w:hint="default"/>
      </w:rPr>
    </w:lvl>
    <w:lvl w:ilvl="8" w:tplc="0A8CF14C">
      <w:start w:val="1"/>
      <w:numFmt w:val="bullet"/>
      <w:lvlText w:val=""/>
      <w:lvlJc w:val="left"/>
      <w:pPr>
        <w:ind w:left="6480" w:hanging="360"/>
      </w:pPr>
      <w:rPr>
        <w:rFonts w:ascii="Wingdings" w:hAnsi="Wingdings" w:hint="default"/>
      </w:rPr>
    </w:lvl>
  </w:abstractNum>
  <w:num w:numId="1" w16cid:durableId="1200120532">
    <w:abstractNumId w:val="2"/>
  </w:num>
  <w:num w:numId="2" w16cid:durableId="2073655760">
    <w:abstractNumId w:val="0"/>
  </w:num>
  <w:num w:numId="3" w16cid:durableId="21686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C9"/>
    <w:rsid w:val="004308D0"/>
    <w:rsid w:val="006354D6"/>
    <w:rsid w:val="007B4EE4"/>
    <w:rsid w:val="009D4CC9"/>
    <w:rsid w:val="00B56EDF"/>
    <w:rsid w:val="00CA0FE2"/>
    <w:rsid w:val="00D0590B"/>
    <w:rsid w:val="00D2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25CD"/>
  <w15:chartTrackingRefBased/>
  <w15:docId w15:val="{1501B115-90A0-4E80-8CA7-C2F05ED8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CC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C9"/>
    <w:pPr>
      <w:ind w:left="720"/>
      <w:contextualSpacing/>
    </w:pPr>
  </w:style>
  <w:style w:type="paragraph" w:styleId="Header">
    <w:name w:val="header"/>
    <w:basedOn w:val="Normal"/>
    <w:link w:val="HeaderChar"/>
    <w:uiPriority w:val="99"/>
    <w:unhideWhenUsed/>
    <w:rsid w:val="009D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C9"/>
    <w:rPr>
      <w:kern w:val="0"/>
      <w14:ligatures w14:val="none"/>
    </w:rPr>
  </w:style>
  <w:style w:type="paragraph" w:styleId="Footer">
    <w:name w:val="footer"/>
    <w:basedOn w:val="Normal"/>
    <w:link w:val="FooterChar"/>
    <w:uiPriority w:val="99"/>
    <w:unhideWhenUsed/>
    <w:rsid w:val="009D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C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Kirkham, Hannah</dc:creator>
  <cp:keywords/>
  <dc:description/>
  <cp:lastModifiedBy>McGlashan, Rob</cp:lastModifiedBy>
  <cp:revision>2</cp:revision>
  <dcterms:created xsi:type="dcterms:W3CDTF">2024-09-25T14:14:00Z</dcterms:created>
  <dcterms:modified xsi:type="dcterms:W3CDTF">2024-09-25T14:14:00Z</dcterms:modified>
</cp:coreProperties>
</file>